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82B18" w14:textId="77777777" w:rsidR="007E6431" w:rsidRDefault="00C15400">
      <w:pPr>
        <w:pStyle w:val="pf0"/>
        <w:spacing w:after="280"/>
        <w:jc w:val="center"/>
        <w:rPr>
          <w:rStyle w:val="cf01"/>
          <w:i/>
          <w:iCs/>
          <w:color w:val="FF0000"/>
        </w:rPr>
      </w:pPr>
      <w:bookmarkStart w:id="0" w:name="_Hlk131064580"/>
      <w:bookmarkEnd w:id="0"/>
      <w:r>
        <w:rPr>
          <w:rFonts w:cs="Calibri"/>
          <w:color w:val="000000"/>
        </w:rPr>
        <w:t xml:space="preserve">  </w:t>
      </w:r>
      <w:r>
        <w:rPr>
          <w:noProof/>
        </w:rPr>
        <w:drawing>
          <wp:inline distT="0" distB="0" distL="0" distR="0" wp14:anchorId="4E439C16" wp14:editId="12C7D7E7">
            <wp:extent cx="721360" cy="721360"/>
            <wp:effectExtent l="0" t="0" r="0" b="0"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28A1C46" w14:textId="77777777" w:rsidR="007E6431" w:rsidRDefault="007E6431">
      <w:pPr>
        <w:widowControl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176B7A21" w14:textId="77777777" w:rsidR="007E6431" w:rsidRDefault="00C15400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Úřad práce České republiky</w:t>
      </w:r>
    </w:p>
    <w:p w14:paraId="11390F85" w14:textId="77777777" w:rsidR="007E6431" w:rsidRDefault="00C15400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Kontaktní pracoviště Praha 6  </w:t>
      </w:r>
    </w:p>
    <w:p w14:paraId="55151863" w14:textId="77777777" w:rsidR="007E6431" w:rsidRDefault="007E6431">
      <w:pPr>
        <w:widowControl w:val="0"/>
        <w:spacing w:before="56"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25557B36" w14:textId="77777777" w:rsidR="007E6431" w:rsidRDefault="00C15400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Adresa objektu: Bělohorská 688/165, 162 00 Praha 6</w:t>
      </w:r>
    </w:p>
    <w:p w14:paraId="5B649A03" w14:textId="77777777" w:rsidR="007E6431" w:rsidRDefault="007E6431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3D75454C" w14:textId="77777777" w:rsidR="007E6431" w:rsidRDefault="00C15400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7E6431" w14:paraId="4122077C" w14:textId="77777777">
        <w:trPr>
          <w:trHeight w:val="4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05724" w14:textId="77777777" w:rsidR="007E6431" w:rsidRDefault="00C15400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5" behindDoc="0" locked="0" layoutInCell="1" allowOverlap="1" wp14:anchorId="17B27F94" wp14:editId="35D50F42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0" b="0"/>
                  <wp:wrapNone/>
                  <wp:docPr id="2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9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BD472" w14:textId="77777777" w:rsidR="007E6431" w:rsidRDefault="00C15400">
            <w:pPr>
              <w:widowControl w:val="0"/>
              <w:spacing w:after="0" w:line="20" w:lineRule="atLeast"/>
              <w:rPr>
                <w:color w:val="000000"/>
              </w:rPr>
            </w:pPr>
            <w:r>
              <w:rPr>
                <w:rFonts w:ascii="Tahoma" w:hAnsi="Tahoma" w:cs="Tahoma"/>
                <w:color w:val="000000"/>
                <w:lang w:eastAsia="en-US"/>
              </w:rPr>
              <w:t>+420 800 77 99 00</w:t>
            </w:r>
          </w:p>
        </w:tc>
      </w:tr>
      <w:tr w:rsidR="007E6431" w14:paraId="142E3365" w14:textId="7777777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5F35E" w14:textId="77777777" w:rsidR="007E6431" w:rsidRDefault="00C15400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4" behindDoc="0" locked="0" layoutInCell="1" allowOverlap="1" wp14:anchorId="49B71D2F" wp14:editId="10E775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0" b="0"/>
                  <wp:wrapNone/>
                  <wp:docPr id="3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8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63664" w14:textId="77777777" w:rsidR="007E6431" w:rsidRDefault="00C15400">
            <w:pPr>
              <w:spacing w:after="0" w:line="20" w:lineRule="atLeast"/>
              <w:rPr>
                <w:rFonts w:ascii="Tahoma" w:hAnsi="Tahoma" w:cs="Tahoma"/>
                <w:lang w:eastAsia="en-US"/>
              </w:rPr>
            </w:pPr>
            <w:r>
              <w:rPr>
                <w:rFonts w:ascii="Tahoma" w:hAnsi="Tahoma" w:cs="Tahoma"/>
                <w:lang w:eastAsia="en-US"/>
              </w:rPr>
              <w:t>IDDS:</w:t>
            </w:r>
            <w:r>
              <w:rPr>
                <w:rFonts w:ascii="Tahoma" w:hAnsi="Tahoma" w:cs="Tahoma"/>
                <w:color w:val="212529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Roboto;sans-serif" w:hAnsi="Roboto;sans-serif" w:cs="Tahoma"/>
                <w:color w:val="212121"/>
                <w:sz w:val="24"/>
                <w:shd w:val="clear" w:color="auto" w:fill="FFFFFF"/>
                <w:lang w:eastAsia="en-US"/>
              </w:rPr>
              <w:t>d36xmr4</w:t>
            </w:r>
            <w:r>
              <w:rPr>
                <w:rFonts w:ascii="Tahoma" w:hAnsi="Tahoma" w:cs="Tahoma"/>
                <w:color w:val="212529"/>
                <w:shd w:val="clear" w:color="auto" w:fill="FFFFFF"/>
                <w:lang w:eastAsia="en-US"/>
              </w:rPr>
              <w:t xml:space="preserve"> </w:t>
            </w:r>
          </w:p>
          <w:p w14:paraId="75F48600" w14:textId="77777777" w:rsidR="00101E7A" w:rsidRDefault="00C15400">
            <w:pPr>
              <w:spacing w:after="0" w:line="20" w:lineRule="atLeast"/>
              <w:rPr>
                <w:rFonts w:ascii="Tahoma" w:hAnsi="Tahoma" w:cs="Tahoma"/>
                <w:lang w:eastAsia="en-US"/>
              </w:rPr>
            </w:pPr>
            <w:r>
              <w:rPr>
                <w:rFonts w:ascii="Tahoma" w:hAnsi="Tahoma" w:cs="Tahoma"/>
                <w:lang w:eastAsia="en-US"/>
              </w:rPr>
              <w:t>e-podatelna:</w:t>
            </w:r>
          </w:p>
          <w:p w14:paraId="26F15A9E" w14:textId="3F4C3F8E" w:rsidR="007E6431" w:rsidRDefault="00101E7A">
            <w:pPr>
              <w:spacing w:after="0" w:line="20" w:lineRule="atLeast"/>
              <w:rPr>
                <w:rFonts w:ascii="Tahoma" w:hAnsi="Tahoma" w:cs="Tahoma"/>
                <w:lang w:eastAsia="en-US"/>
              </w:rPr>
            </w:pPr>
            <w:hyperlink r:id="rId9" w:history="1">
              <w:r w:rsidRPr="00C2247E">
                <w:rPr>
                  <w:rStyle w:val="Hypertextovodkaz"/>
                  <w:rFonts w:ascii="Tahoma" w:hAnsi="Tahoma" w:cs="Tahoma"/>
                  <w:lang w:eastAsia="en-US"/>
                </w:rPr>
                <w:t>posta.aag@uradprace.cz</w:t>
              </w:r>
            </w:hyperlink>
            <w:r w:rsidR="00C15400">
              <w:rPr>
                <w:rFonts w:ascii="Tahoma" w:hAnsi="Tahoma" w:cs="Tahoma"/>
                <w:lang w:eastAsia="en-US"/>
              </w:rPr>
              <w:t xml:space="preserve">; </w:t>
            </w:r>
            <w:hyperlink r:id="rId10">
              <w:r w:rsidR="00C15400">
                <w:rPr>
                  <w:rStyle w:val="Hypertextovodkaz"/>
                  <w:rFonts w:ascii="Tahoma" w:hAnsi="Tahoma" w:cs="Tahoma"/>
                  <w:shd w:val="clear" w:color="auto" w:fill="FFFFFF"/>
                  <w:lang w:eastAsia="en-US"/>
                </w:rPr>
                <w:t>podatelna.aa@uradprace.cz</w:t>
              </w:r>
            </w:hyperlink>
            <w:r w:rsidR="00C15400">
              <w:rPr>
                <w:rFonts w:ascii="Tahoma" w:hAnsi="Tahoma" w:cs="Tahoma"/>
                <w:lang w:eastAsia="en-US"/>
              </w:rPr>
              <w:t xml:space="preserve"> </w:t>
            </w:r>
            <w:r w:rsidR="00C15400">
              <w:rPr>
                <w:rFonts w:ascii="Tahoma" w:hAnsi="Tahoma" w:cs="Tahoma"/>
                <w:color w:val="000000"/>
                <w:shd w:val="clear" w:color="auto" w:fill="FFFFFF"/>
                <w:lang w:eastAsia="en-US"/>
              </w:rPr>
              <w:t xml:space="preserve"> </w:t>
            </w:r>
            <w:r w:rsidR="00C15400">
              <w:rPr>
                <w:rFonts w:ascii="Tahoma" w:hAnsi="Tahoma" w:cs="Tahoma"/>
                <w:color w:val="FF0000"/>
                <w:shd w:val="clear" w:color="auto" w:fill="FFFFFF"/>
                <w:lang w:eastAsia="en-US"/>
              </w:rPr>
              <w:t xml:space="preserve"> </w:t>
            </w:r>
          </w:p>
        </w:tc>
      </w:tr>
      <w:tr w:rsidR="007E6431" w14:paraId="5FD291F9" w14:textId="77777777">
        <w:trPr>
          <w:trHeight w:val="4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674EB" w14:textId="77777777" w:rsidR="007E6431" w:rsidRDefault="00C15400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3" behindDoc="0" locked="0" layoutInCell="1" allowOverlap="1" wp14:anchorId="1A92CE9F" wp14:editId="0D0D6290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4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7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0434D" w14:textId="77777777" w:rsidR="007E6431" w:rsidRDefault="00C15400">
            <w:pPr>
              <w:widowControl w:val="0"/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lang w:eastAsia="en-US"/>
              </w:rPr>
            </w:pPr>
            <w:r>
              <w:rPr>
                <w:rFonts w:ascii="Tahoma" w:hAnsi="Tahoma" w:cs="Tahoma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2C36F5B8" w14:textId="77777777" w:rsidR="007E6431" w:rsidRDefault="007E6431">
      <w:pPr>
        <w:pStyle w:val="pf0"/>
        <w:spacing w:before="280" w:after="280"/>
        <w:rPr>
          <w:rFonts w:ascii="Tahoma" w:hAnsi="Tahoma" w:cs="Tahoma"/>
          <w:b/>
          <w:bCs/>
          <w:color w:val="000000"/>
        </w:rPr>
      </w:pPr>
    </w:p>
    <w:p w14:paraId="537D5BC6" w14:textId="77777777" w:rsidR="007E6431" w:rsidRDefault="00C15400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Popis objektu </w:t>
      </w:r>
      <w:r>
        <w:rPr>
          <w:rStyle w:val="cf01"/>
          <w:b/>
          <w:bCs/>
          <w:i/>
          <w:iCs/>
          <w:color w:val="FF0000"/>
        </w:rPr>
        <w:t xml:space="preserve"> </w:t>
      </w:r>
    </w:p>
    <w:p w14:paraId="0B36A329" w14:textId="77777777" w:rsidR="007E6431" w:rsidRDefault="00C15400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Style w:val="cf01"/>
          <w:rFonts w:ascii="Tahoma" w:hAnsi="Tahoma" w:cs="Tahoma"/>
          <w:color w:val="000000"/>
          <w:sz w:val="20"/>
          <w:szCs w:val="20"/>
        </w:rPr>
        <w:t>Objekt je využíván jako kontaktní pracoviště pro Prahu 6 a 17. Objekt je veřejnosti přístupný.</w:t>
      </w:r>
    </w:p>
    <w:p w14:paraId="4A1E0268" w14:textId="77777777" w:rsidR="007E6431" w:rsidRDefault="00C15400">
      <w:pPr>
        <w:pStyle w:val="pf0"/>
        <w:spacing w:before="280" w:after="280"/>
        <w:rPr>
          <w:rStyle w:val="cf01"/>
          <w:i/>
          <w:iCs/>
          <w:color w:val="FF0000"/>
        </w:rPr>
      </w:pPr>
      <w:r>
        <w:rPr>
          <w:rFonts w:ascii="Tahoma" w:hAnsi="Tahoma" w:cs="Tahoma"/>
          <w:b/>
          <w:bCs/>
          <w:color w:val="000000"/>
        </w:rPr>
        <w:t xml:space="preserve">Základní přehled přístupnosti </w:t>
      </w:r>
    </w:p>
    <w:p w14:paraId="7C4F378E" w14:textId="77777777" w:rsidR="007E6431" w:rsidRDefault="00C15400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58AD5A6" wp14:editId="4A332901">
            <wp:extent cx="306070" cy="306070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B8F431" wp14:editId="7D7CB3B2">
            <wp:extent cx="290195" cy="295275"/>
            <wp:effectExtent l="0" t="0" r="0" b="0"/>
            <wp:docPr id="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</w:t>
      </w:r>
    </w:p>
    <w:p w14:paraId="06133262" w14:textId="77777777" w:rsidR="007E6431" w:rsidRDefault="007E6431">
      <w:pPr>
        <w:widowControl w:val="0"/>
        <w:spacing w:after="0" w:line="240" w:lineRule="auto"/>
        <w:ind w:firstLine="566"/>
        <w:rPr>
          <w:rFonts w:ascii="Tahoma" w:hAnsi="Tahoma" w:cs="Tahoma"/>
        </w:rPr>
      </w:pPr>
    </w:p>
    <w:p w14:paraId="29808D61" w14:textId="77777777" w:rsidR="007E6431" w:rsidRDefault="00C15400">
      <w:pPr>
        <w:widowControl w:val="0"/>
        <w:spacing w:before="53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Uživatelský popis </w:t>
      </w:r>
    </w:p>
    <w:p w14:paraId="43BC896C" w14:textId="77777777" w:rsidR="007E6431" w:rsidRDefault="007E6431">
      <w:pPr>
        <w:widowControl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2F0BD24" w14:textId="19120314" w:rsidR="007E6431" w:rsidRDefault="00C15400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Vstup</w:t>
      </w:r>
      <w:r>
        <w:rPr>
          <w:rFonts w:ascii="Tahoma" w:hAnsi="Tahoma" w:cs="Tahoma"/>
          <w:color w:val="000000"/>
          <w:sz w:val="20"/>
          <w:szCs w:val="20"/>
        </w:rPr>
        <w:t xml:space="preserve"> Povrch chodníku před vstupem do areálu je asfaltový s </w:t>
      </w:r>
      <w:r w:rsidRPr="00101E7A">
        <w:rPr>
          <w:rFonts w:ascii="Tahoma" w:hAnsi="Tahoma" w:cs="Tahoma"/>
          <w:color w:val="000000"/>
          <w:sz w:val="20"/>
          <w:szCs w:val="20"/>
        </w:rPr>
        <w:t>mírným příčným sklonem 2</w:t>
      </w:r>
      <w:r w:rsidR="009E51B0" w:rsidRPr="00101E7A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101E7A">
        <w:rPr>
          <w:rFonts w:ascii="Tahoma" w:hAnsi="Tahoma" w:cs="Tahoma"/>
          <w:color w:val="000000"/>
          <w:sz w:val="20"/>
          <w:szCs w:val="20"/>
        </w:rPr>
        <w:t>%. Do budovy se vchází průjezdem, který je dostatečně široký</w:t>
      </w:r>
      <w:r w:rsidR="009E51B0" w:rsidRPr="00101E7A">
        <w:rPr>
          <w:rFonts w:ascii="Tahoma" w:hAnsi="Tahoma" w:cs="Tahoma"/>
          <w:color w:val="000000"/>
          <w:sz w:val="20"/>
          <w:szCs w:val="20"/>
        </w:rPr>
        <w:t xml:space="preserve"> a slouží</w:t>
      </w:r>
      <w:r w:rsidRPr="00101E7A">
        <w:rPr>
          <w:rFonts w:ascii="Tahoma" w:hAnsi="Tahoma" w:cs="Tahoma"/>
          <w:color w:val="000000"/>
          <w:sz w:val="20"/>
          <w:szCs w:val="20"/>
        </w:rPr>
        <w:t xml:space="preserve"> pro automobily do 3</w:t>
      </w:r>
      <w:r w:rsidR="009E51B0" w:rsidRPr="00101E7A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101E7A">
        <w:rPr>
          <w:rFonts w:ascii="Tahoma" w:hAnsi="Tahoma" w:cs="Tahoma"/>
          <w:color w:val="000000"/>
          <w:sz w:val="20"/>
          <w:szCs w:val="20"/>
        </w:rPr>
        <w:t>t</w:t>
      </w:r>
      <w:r w:rsidR="009E51B0" w:rsidRPr="00101E7A">
        <w:rPr>
          <w:rFonts w:ascii="Tahoma" w:hAnsi="Tahoma" w:cs="Tahoma"/>
          <w:color w:val="000000"/>
          <w:sz w:val="20"/>
          <w:szCs w:val="20"/>
        </w:rPr>
        <w:t>un</w:t>
      </w:r>
      <w:r w:rsidRPr="00101E7A">
        <w:rPr>
          <w:rFonts w:ascii="Tahoma" w:hAnsi="Tahoma" w:cs="Tahoma"/>
          <w:color w:val="000000"/>
          <w:sz w:val="20"/>
          <w:szCs w:val="20"/>
        </w:rPr>
        <w:t>. Na konci průjezdu jsou po pravé straně vstupní dveře do úřadu šířky 90 cm. Před vstupními dveřmi je schod</w:t>
      </w:r>
      <w:r>
        <w:rPr>
          <w:rFonts w:ascii="Tahoma" w:hAnsi="Tahoma" w:cs="Tahoma"/>
          <w:color w:val="000000"/>
          <w:sz w:val="20"/>
          <w:szCs w:val="20"/>
        </w:rPr>
        <w:t xml:space="preserve"> výšky 18 cm, šířky 100 cm a hloubky 50 cm. </w:t>
      </w:r>
    </w:p>
    <w:p w14:paraId="5894DDCD" w14:textId="7663F5A3" w:rsidR="007E6431" w:rsidRDefault="00C15400">
      <w:pPr>
        <w:pStyle w:val="pf0"/>
        <w:spacing w:before="280" w:after="28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Interiér </w:t>
      </w:r>
      <w:r>
        <w:rPr>
          <w:rFonts w:ascii="Tahoma" w:hAnsi="Tahoma" w:cs="Tahoma"/>
          <w:color w:val="000000"/>
          <w:sz w:val="20"/>
          <w:szCs w:val="20"/>
        </w:rPr>
        <w:t>Ze vstupní chodby vede schodiště do 1.NP, celkem se jedná o 23</w:t>
      </w:r>
      <w:r w:rsidR="009E51B0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schodů</w:t>
      </w:r>
      <w:r w:rsidR="009E51B0">
        <w:rPr>
          <w:rFonts w:ascii="Tahoma" w:hAnsi="Tahoma" w:cs="Tahoma"/>
          <w:color w:val="000000"/>
          <w:sz w:val="20"/>
          <w:szCs w:val="20"/>
        </w:rPr>
        <w:t>, výška</w:t>
      </w:r>
      <w:r>
        <w:rPr>
          <w:rFonts w:ascii="Tahoma" w:hAnsi="Tahoma" w:cs="Tahoma"/>
          <w:color w:val="000000"/>
          <w:sz w:val="20"/>
          <w:szCs w:val="20"/>
        </w:rPr>
        <w:t xml:space="preserve"> jednoho schodu je 15 cm, šířka 130 cm a hloubka 29 cm.</w:t>
      </w:r>
    </w:p>
    <w:p w14:paraId="620DE580" w14:textId="77777777" w:rsidR="007E6431" w:rsidRDefault="00C15400">
      <w:pPr>
        <w:pStyle w:val="pf0"/>
        <w:spacing w:before="280" w:after="28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1.NP je využíváno následovně,</w:t>
      </w:r>
    </w:p>
    <w:p w14:paraId="4DB154E2" w14:textId="77777777" w:rsidR="009E51B0" w:rsidRDefault="00C15400">
      <w:pPr>
        <w:pStyle w:val="pf0"/>
        <w:spacing w:before="280" w:after="28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levá část: podatelna, do které se vstupuje dveřmi šířky 90 cm, práh výšky 2,5 cm</w:t>
      </w:r>
    </w:p>
    <w:p w14:paraId="53B80FD1" w14:textId="5A09C986" w:rsidR="007E6431" w:rsidRDefault="00C15400">
      <w:pPr>
        <w:pStyle w:val="pf0"/>
        <w:spacing w:before="280" w:after="28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pravá část: čekárna a klientské pracoviště – do čekárny se vstupuje dveřmi šířky 90 cm, výška</w:t>
      </w:r>
      <w:r w:rsidR="009E51B0">
        <w:rPr>
          <w:rFonts w:ascii="Tahoma" w:hAnsi="Tahoma" w:cs="Tahoma"/>
          <w:color w:val="000000"/>
          <w:sz w:val="20"/>
          <w:szCs w:val="20"/>
        </w:rPr>
        <w:t xml:space="preserve"> s prahem vysokým</w:t>
      </w:r>
      <w:r>
        <w:rPr>
          <w:rFonts w:ascii="Tahoma" w:hAnsi="Tahoma" w:cs="Tahoma"/>
          <w:color w:val="000000"/>
          <w:sz w:val="20"/>
          <w:szCs w:val="20"/>
        </w:rPr>
        <w:t xml:space="preserve"> 4 cm. V čekárně se nachází stanoviště ostrahy a toaleta pro klienty se šířkou dveří 60 cm. Z čekárny se vstupuje do klientských kójí, šířka dveří je 90 cm, bez prahu. Za dveřmi jsou 4 schody, výška jednoho schodu je 13 cm, šířka 138 cm a hloubka 33 cm. </w:t>
      </w:r>
    </w:p>
    <w:p w14:paraId="57439FBD" w14:textId="77777777" w:rsidR="007E6431" w:rsidRDefault="00C15400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 xml:space="preserve">Výtah </w:t>
      </w:r>
      <w:r>
        <w:rPr>
          <w:rFonts w:ascii="Tahoma" w:hAnsi="Tahoma" w:cs="Tahoma"/>
          <w:color w:val="000000"/>
          <w:sz w:val="20"/>
          <w:szCs w:val="20"/>
        </w:rPr>
        <w:t>V budově se nenachází výtah.</w:t>
      </w:r>
    </w:p>
    <w:p w14:paraId="5853F531" w14:textId="77777777" w:rsidR="007E6431" w:rsidRDefault="00C15400">
      <w:pPr>
        <w:pStyle w:val="pf0"/>
        <w:spacing w:before="280" w:after="28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Hygienické zázemí </w:t>
      </w:r>
      <w:r>
        <w:rPr>
          <w:rFonts w:ascii="Tahoma" w:hAnsi="Tahoma" w:cs="Tahoma"/>
          <w:color w:val="000000"/>
          <w:sz w:val="20"/>
          <w:szCs w:val="20"/>
        </w:rPr>
        <w:t>Upravená toaleta pro zdravotně postižené osoby není v budově k dispozici.</w:t>
      </w:r>
    </w:p>
    <w:p w14:paraId="27F24958" w14:textId="77777777" w:rsidR="007E6431" w:rsidRDefault="00C15400">
      <w:pPr>
        <w:pStyle w:val="pf0"/>
        <w:spacing w:before="280" w:after="28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Parkování </w:t>
      </w:r>
      <w:r>
        <w:rPr>
          <w:rStyle w:val="cf01"/>
          <w:rFonts w:ascii="Tahoma" w:hAnsi="Tahoma" w:cs="Tahoma"/>
          <w:color w:val="000000"/>
          <w:sz w:val="20"/>
          <w:szCs w:val="20"/>
        </w:rPr>
        <w:t>Objekt nedisponuje vlastní parkovací plochou pro vozidla klientů. Pro parkování lze využít přilehlé komunikace s vyznačenými parkovacími zónami.</w:t>
      </w:r>
    </w:p>
    <w:p w14:paraId="14F48811" w14:textId="77777777" w:rsidR="007E6431" w:rsidRDefault="00C15400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</w:rPr>
        <w:t xml:space="preserve">Fotodokumentace </w:t>
      </w:r>
    </w:p>
    <w:p w14:paraId="0862A911" w14:textId="38E78BE4" w:rsidR="007E6431" w:rsidRDefault="002814F2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63360" behindDoc="0" locked="0" layoutInCell="0" allowOverlap="1" wp14:anchorId="08A227BA" wp14:editId="1EBE6BFC">
            <wp:simplePos x="0" y="0"/>
            <wp:positionH relativeFrom="column">
              <wp:posOffset>-4445</wp:posOffset>
            </wp:positionH>
            <wp:positionV relativeFrom="paragraph">
              <wp:posOffset>281305</wp:posOffset>
            </wp:positionV>
            <wp:extent cx="1686560" cy="2238375"/>
            <wp:effectExtent l="0" t="0" r="0" b="0"/>
            <wp:wrapSquare wrapText="largest"/>
            <wp:docPr id="884208390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8D5">
        <w:rPr>
          <w:rFonts w:ascii="Tahoma" w:hAnsi="Tahoma" w:cs="Tahoma"/>
          <w:b/>
          <w:sz w:val="24"/>
        </w:rPr>
        <w:t xml:space="preserve">  </w:t>
      </w:r>
      <w:r w:rsidR="002618D5">
        <w:rPr>
          <w:rFonts w:ascii="Tahoma" w:hAnsi="Tahoma" w:cs="Tahoma"/>
        </w:rPr>
        <w:t xml:space="preserve">    </w:t>
      </w:r>
    </w:p>
    <w:p w14:paraId="68F09EF2" w14:textId="3D821EDA" w:rsidR="007E6431" w:rsidRDefault="00761E3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C55FE4" w:rsidRPr="002618D5">
        <w:rPr>
          <w:rFonts w:ascii="Tahoma" w:hAnsi="Tahoma" w:cs="Tahoma"/>
          <w:noProof/>
        </w:rPr>
        <w:drawing>
          <wp:inline distT="0" distB="0" distL="0" distR="0" wp14:anchorId="7D34E45D" wp14:editId="2F921DD7">
            <wp:extent cx="1625888" cy="2171414"/>
            <wp:effectExtent l="0" t="0" r="0" b="0"/>
            <wp:docPr id="5377586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649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5896" cy="21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</w:t>
      </w:r>
      <w:r w:rsidR="002618D5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   </w:t>
      </w:r>
      <w:r w:rsidR="00C55FE4" w:rsidRPr="002618D5">
        <w:rPr>
          <w:rFonts w:ascii="Tahoma" w:hAnsi="Tahoma" w:cs="Tahoma"/>
          <w:b/>
          <w:noProof/>
          <w:sz w:val="24"/>
        </w:rPr>
        <w:drawing>
          <wp:inline distT="0" distB="0" distL="0" distR="0" wp14:anchorId="43E65934" wp14:editId="76F8E8B8">
            <wp:extent cx="1754805" cy="2390775"/>
            <wp:effectExtent l="0" t="0" r="0" b="0"/>
            <wp:docPr id="19227862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187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7015" cy="2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 w:rsidR="002618D5">
        <w:rPr>
          <w:rFonts w:ascii="Tahoma" w:hAnsi="Tahoma" w:cs="Tahoma"/>
        </w:rPr>
        <w:t xml:space="preserve">           </w:t>
      </w:r>
    </w:p>
    <w:p w14:paraId="720EAB8A" w14:textId="145976AD" w:rsidR="007E6431" w:rsidRDefault="007E6431">
      <w:pPr>
        <w:rPr>
          <w:rFonts w:ascii="Tahoma" w:hAnsi="Tahoma" w:cs="Tahoma"/>
        </w:rPr>
      </w:pPr>
    </w:p>
    <w:p w14:paraId="37D7B01D" w14:textId="203BA455" w:rsidR="007E6431" w:rsidRDefault="007E6431">
      <w:pPr>
        <w:rPr>
          <w:rFonts w:ascii="Tahoma" w:hAnsi="Tahoma" w:cs="Tahoma"/>
        </w:rPr>
      </w:pPr>
    </w:p>
    <w:p w14:paraId="688C206D" w14:textId="08047817" w:rsidR="007E6431" w:rsidRDefault="00C15400">
      <w:pPr>
        <w:rPr>
          <w:rFonts w:ascii="Tahoma" w:hAnsi="Tahoma" w:cs="Tahoma"/>
        </w:rPr>
      </w:pPr>
      <w:r w:rsidRPr="002618D5">
        <w:rPr>
          <w:rFonts w:ascii="Tahoma" w:hAnsi="Tahoma" w:cs="Tahoma"/>
          <w:noProof/>
        </w:rPr>
        <w:drawing>
          <wp:inline distT="0" distB="0" distL="0" distR="0" wp14:anchorId="74BD7BE5" wp14:editId="0988B196">
            <wp:extent cx="1722637" cy="2324100"/>
            <wp:effectExtent l="0" t="0" r="0" b="0"/>
            <wp:docPr id="21089507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296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2363" cy="235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E33">
        <w:rPr>
          <w:rFonts w:ascii="Tahoma" w:hAnsi="Tahoma" w:cs="Tahoma"/>
        </w:rPr>
        <w:t xml:space="preserve">       </w:t>
      </w:r>
      <w:r w:rsidRPr="00C15400">
        <w:rPr>
          <w:rFonts w:ascii="Tahoma" w:hAnsi="Tahoma" w:cs="Tahoma"/>
          <w:noProof/>
        </w:rPr>
        <w:drawing>
          <wp:inline distT="0" distB="0" distL="0" distR="0" wp14:anchorId="39A628FC" wp14:editId="059760E3">
            <wp:extent cx="1694999" cy="2304049"/>
            <wp:effectExtent l="0" t="0" r="0" b="0"/>
            <wp:docPr id="10772998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998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6051" cy="23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</w:t>
      </w:r>
      <w:r w:rsidRPr="00C55FE4">
        <w:rPr>
          <w:rFonts w:ascii="Tahoma" w:hAnsi="Tahoma" w:cs="Tahoma"/>
          <w:noProof/>
        </w:rPr>
        <w:drawing>
          <wp:inline distT="0" distB="0" distL="0" distR="0" wp14:anchorId="2E7FB883" wp14:editId="53B27487">
            <wp:extent cx="1666838" cy="2308796"/>
            <wp:effectExtent l="0" t="0" r="0" b="0"/>
            <wp:docPr id="21396320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320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6502" cy="23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D1E8" w14:textId="77777777" w:rsidR="007E6431" w:rsidRDefault="007E6431">
      <w:pPr>
        <w:rPr>
          <w:rFonts w:ascii="Tahoma" w:hAnsi="Tahoma" w:cs="Tahoma"/>
        </w:rPr>
      </w:pPr>
    </w:p>
    <w:p w14:paraId="27656535" w14:textId="77777777" w:rsidR="00C15400" w:rsidRDefault="00C15400">
      <w:pPr>
        <w:rPr>
          <w:rFonts w:ascii="Tahoma" w:hAnsi="Tahoma" w:cs="Tahoma"/>
        </w:rPr>
      </w:pPr>
    </w:p>
    <w:p w14:paraId="4E6F0060" w14:textId="77777777" w:rsidR="00C15400" w:rsidRDefault="00C15400" w:rsidP="00C15400">
      <w:pPr>
        <w:rPr>
          <w:rFonts w:ascii="Tahoma" w:hAnsi="Tahoma" w:cs="Tahoma"/>
        </w:rPr>
      </w:pPr>
      <w:r w:rsidRPr="00C55FE4">
        <w:rPr>
          <w:rFonts w:ascii="Tahoma" w:hAnsi="Tahoma" w:cs="Tahoma"/>
          <w:noProof/>
        </w:rPr>
        <w:lastRenderedPageBreak/>
        <w:drawing>
          <wp:inline distT="0" distB="0" distL="0" distR="0" wp14:anchorId="0A9CE1CE" wp14:editId="3F8F6172">
            <wp:extent cx="1523268" cy="2066925"/>
            <wp:effectExtent l="0" t="0" r="0" b="0"/>
            <wp:docPr id="4707607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008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4082" cy="20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  <w:r w:rsidRPr="00C55FE4">
        <w:rPr>
          <w:rFonts w:ascii="Tahoma" w:hAnsi="Tahoma" w:cs="Tahoma"/>
          <w:noProof/>
        </w:rPr>
        <w:drawing>
          <wp:inline distT="0" distB="0" distL="0" distR="0" wp14:anchorId="7A9A226F" wp14:editId="0627FC3B">
            <wp:extent cx="1562100" cy="2098421"/>
            <wp:effectExtent l="0" t="0" r="0" b="0"/>
            <wp:docPr id="4098336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3140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7623" cy="21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</w:t>
      </w:r>
      <w:r w:rsidRPr="00C55FE4">
        <w:rPr>
          <w:rFonts w:ascii="Tahoma" w:hAnsi="Tahoma" w:cs="Tahoma"/>
          <w:noProof/>
        </w:rPr>
        <w:drawing>
          <wp:inline distT="0" distB="0" distL="0" distR="0" wp14:anchorId="4704194F" wp14:editId="034BB62F">
            <wp:extent cx="1527875" cy="2066219"/>
            <wp:effectExtent l="0" t="0" r="0" b="0"/>
            <wp:docPr id="6327567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65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7313" cy="209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5418" w14:textId="77777777" w:rsidR="00C15400" w:rsidRDefault="00C15400" w:rsidP="00C15400">
      <w:pPr>
        <w:rPr>
          <w:rFonts w:ascii="Tahoma" w:hAnsi="Tahoma" w:cs="Tahoma"/>
        </w:rPr>
      </w:pPr>
    </w:p>
    <w:p w14:paraId="05955F20" w14:textId="38594842" w:rsidR="00C15400" w:rsidRDefault="00C15400">
      <w:pPr>
        <w:rPr>
          <w:rFonts w:ascii="Tahoma" w:hAnsi="Tahoma" w:cs="Tahoma"/>
        </w:rPr>
      </w:pPr>
      <w:r w:rsidRPr="00C15400">
        <w:rPr>
          <w:rFonts w:ascii="Tahoma" w:hAnsi="Tahoma" w:cs="Tahoma"/>
          <w:noProof/>
        </w:rPr>
        <w:drawing>
          <wp:inline distT="0" distB="0" distL="0" distR="0" wp14:anchorId="3254F1E1" wp14:editId="77D4B584">
            <wp:extent cx="1543050" cy="2071209"/>
            <wp:effectExtent l="0" t="0" r="0" b="0"/>
            <wp:docPr id="19745508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508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1767" cy="20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  <w:r w:rsidRPr="00C55FE4">
        <w:rPr>
          <w:rFonts w:ascii="Tahoma" w:hAnsi="Tahoma" w:cs="Tahoma"/>
          <w:noProof/>
        </w:rPr>
        <w:drawing>
          <wp:inline distT="0" distB="0" distL="0" distR="0" wp14:anchorId="6B7D6E1A" wp14:editId="1E90D8BC">
            <wp:extent cx="1535391" cy="2061210"/>
            <wp:effectExtent l="0" t="0" r="0" b="0"/>
            <wp:docPr id="9230383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3830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4572" cy="207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</w:t>
      </w:r>
      <w:r w:rsidRPr="00C55FE4">
        <w:rPr>
          <w:rFonts w:ascii="Tahoma" w:hAnsi="Tahoma" w:cs="Tahoma"/>
          <w:noProof/>
        </w:rPr>
        <w:drawing>
          <wp:inline distT="0" distB="0" distL="0" distR="0" wp14:anchorId="5435D3D5" wp14:editId="300C73A3">
            <wp:extent cx="1543050" cy="2151116"/>
            <wp:effectExtent l="0" t="0" r="0" b="0"/>
            <wp:docPr id="8172762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762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7411" cy="2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D54C" w14:textId="13148CE3" w:rsidR="00C15400" w:rsidRDefault="00C15400">
      <w:pPr>
        <w:rPr>
          <w:rFonts w:ascii="Tahoma" w:hAnsi="Tahoma" w:cs="Tahoma"/>
        </w:rPr>
      </w:pPr>
    </w:p>
    <w:p w14:paraId="33B5A918" w14:textId="19590FDC" w:rsidR="007E6431" w:rsidRDefault="007E6431">
      <w:pPr>
        <w:rPr>
          <w:rFonts w:ascii="Tahoma" w:hAnsi="Tahoma" w:cs="Tahoma"/>
        </w:rPr>
      </w:pPr>
    </w:p>
    <w:p w14:paraId="2C3B1F7B" w14:textId="337E281B" w:rsidR="007E6431" w:rsidRDefault="00C15400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</w:p>
    <w:p w14:paraId="73337C4F" w14:textId="77777777" w:rsidR="007E6431" w:rsidRDefault="007E6431">
      <w:pPr>
        <w:rPr>
          <w:rFonts w:ascii="Tahoma" w:hAnsi="Tahoma" w:cs="Tahoma"/>
        </w:rPr>
      </w:pPr>
    </w:p>
    <w:p w14:paraId="5B07C314" w14:textId="07169E38" w:rsidR="007E6431" w:rsidRDefault="002814F2">
      <w:pPr>
        <w:rPr>
          <w:rFonts w:ascii="Tahoma" w:hAnsi="Tahoma" w:cs="Tahoma"/>
        </w:rPr>
      </w:pPr>
      <w:r w:rsidRPr="002814F2">
        <w:rPr>
          <w:rFonts w:ascii="Tahoma" w:hAnsi="Tahoma" w:cs="Tahoma"/>
          <w:noProof/>
        </w:rPr>
        <w:drawing>
          <wp:inline distT="0" distB="0" distL="0" distR="0" wp14:anchorId="205C91EC" wp14:editId="018AE8B3">
            <wp:extent cx="1733550" cy="2305621"/>
            <wp:effectExtent l="0" t="0" r="0" b="0"/>
            <wp:docPr id="14739275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275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3338" cy="23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E4">
        <w:rPr>
          <w:rFonts w:ascii="Tahoma" w:hAnsi="Tahoma" w:cs="Tahoma"/>
        </w:rPr>
        <w:t xml:space="preserve">    </w:t>
      </w:r>
      <w:r w:rsidR="00C15400">
        <w:rPr>
          <w:rFonts w:ascii="Tahoma" w:hAnsi="Tahoma" w:cs="Tahoma"/>
        </w:rPr>
        <w:t xml:space="preserve">  </w:t>
      </w:r>
      <w:r w:rsidR="00C55FE4">
        <w:rPr>
          <w:rFonts w:ascii="Tahoma" w:hAnsi="Tahoma" w:cs="Tahoma"/>
        </w:rPr>
        <w:t xml:space="preserve">         </w:t>
      </w:r>
      <w:r w:rsidR="00C15400">
        <w:rPr>
          <w:rFonts w:ascii="Tahoma" w:hAnsi="Tahoma" w:cs="Tahoma"/>
        </w:rPr>
        <w:t xml:space="preserve">     </w:t>
      </w:r>
    </w:p>
    <w:sectPr w:rsidR="007E643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41CE3" w14:textId="77777777" w:rsidR="00A13B51" w:rsidRDefault="00A13B51" w:rsidP="00101E7A">
      <w:pPr>
        <w:spacing w:after="0" w:line="240" w:lineRule="auto"/>
      </w:pPr>
      <w:r>
        <w:separator/>
      </w:r>
    </w:p>
  </w:endnote>
  <w:endnote w:type="continuationSeparator" w:id="0">
    <w:p w14:paraId="637F8BA3" w14:textId="77777777" w:rsidR="00A13B51" w:rsidRDefault="00A13B51" w:rsidP="00101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0FE80" w14:textId="77777777" w:rsidR="00101E7A" w:rsidRDefault="00101E7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391711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68C019B" w14:textId="06F13561" w:rsidR="00101E7A" w:rsidRDefault="00101E7A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5D174C" w14:textId="77777777" w:rsidR="00101E7A" w:rsidRDefault="00101E7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F2F3" w14:textId="77777777" w:rsidR="00101E7A" w:rsidRDefault="00101E7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3782A" w14:textId="77777777" w:rsidR="00A13B51" w:rsidRDefault="00A13B51" w:rsidP="00101E7A">
      <w:pPr>
        <w:spacing w:after="0" w:line="240" w:lineRule="auto"/>
      </w:pPr>
      <w:r>
        <w:separator/>
      </w:r>
    </w:p>
  </w:footnote>
  <w:footnote w:type="continuationSeparator" w:id="0">
    <w:p w14:paraId="6110E1C1" w14:textId="77777777" w:rsidR="00A13B51" w:rsidRDefault="00A13B51" w:rsidP="00101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9C0FE" w14:textId="77777777" w:rsidR="00101E7A" w:rsidRDefault="00101E7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3656D" w14:textId="77777777" w:rsidR="00101E7A" w:rsidRDefault="00101E7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39FC3" w14:textId="77777777" w:rsidR="00101E7A" w:rsidRDefault="00101E7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431"/>
    <w:rsid w:val="00101E7A"/>
    <w:rsid w:val="002618D5"/>
    <w:rsid w:val="002814F2"/>
    <w:rsid w:val="00761E33"/>
    <w:rsid w:val="00784CD1"/>
    <w:rsid w:val="007E6431"/>
    <w:rsid w:val="009E51B0"/>
    <w:rsid w:val="00A13B51"/>
    <w:rsid w:val="00C15400"/>
    <w:rsid w:val="00C55FE4"/>
    <w:rsid w:val="00E1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D4935"/>
  <w15:docId w15:val="{97B9DAF3-7D4B-4A52-B6F6-DED7EEE0C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spacing w:after="160" w:line="259" w:lineRule="auto"/>
      <w:jc w:val="both"/>
    </w:pPr>
    <w:rPr>
      <w:rFonts w:eastAsia="Times New Roman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Autospacing="1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B20F2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41A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qFormat/>
    <w:rsid w:val="00C338F7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B20F2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20F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ln"/>
    <w:qFormat/>
    <w:rsid w:val="00C338F7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39"/>
    <w:rsid w:val="00D1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101E7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01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1E7A"/>
    <w:rPr>
      <w:rFonts w:eastAsia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1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1E7A"/>
    <w:rPr>
      <w:rFonts w:eastAsia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hyperlink" Target="mailto:podatelna.aa@uradprace.cz" TargetMode="External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mailto:posta.aag@uradprace.cz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ÚZSVM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dc:description/>
  <cp:lastModifiedBy>Němec Miroslav Ing. (UPA-KRP)</cp:lastModifiedBy>
  <cp:revision>2</cp:revision>
  <dcterms:created xsi:type="dcterms:W3CDTF">2025-05-16T10:44:00Z</dcterms:created>
  <dcterms:modified xsi:type="dcterms:W3CDTF">2025-05-16T10:44:00Z</dcterms:modified>
  <dc:language>cs-CZ</dc:language>
</cp:coreProperties>
</file>